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570486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570486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6744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490x70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06452">
              <w:rPr>
                <w:rFonts w:ascii="Cambria" w:hAnsi="Cambria"/>
                <w:sz w:val="20"/>
                <w:szCs w:val="20"/>
                <w:lang w:val="en-US"/>
              </w:rPr>
              <w:t>all the pages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3-6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125x125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bookmarkStart w:id="0" w:name="_GoBack"/>
      <w:bookmarkEnd w:id="0"/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937456" w:rsidRDefault="00F1564E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A7B4D" w:rsidRPr="0061515C" w:rsidRDefault="00DA7B4D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9002D0"/>
    <w:rsid w:val="00901488"/>
    <w:rsid w:val="009103C6"/>
    <w:rsid w:val="00933D9A"/>
    <w:rsid w:val="00934C10"/>
    <w:rsid w:val="00937456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A7B4D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4CC5-7912-49C8-BBE9-7DF8E13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2010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Inspiron</cp:lastModifiedBy>
  <cp:revision>3</cp:revision>
  <cp:lastPrinted>2015-09-03T14:34:00Z</cp:lastPrinted>
  <dcterms:created xsi:type="dcterms:W3CDTF">2016-12-13T06:40:00Z</dcterms:created>
  <dcterms:modified xsi:type="dcterms:W3CDTF">2016-12-15T15:04:00Z</dcterms:modified>
</cp:coreProperties>
</file>